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B1" w:rsidRPr="00AD723E" w:rsidRDefault="00C26FB1">
      <w:pPr>
        <w:pStyle w:val="Default"/>
        <w:rPr>
          <w:rFonts w:ascii="Cambria" w:hAnsi="Cambria" w:cs="Cambria"/>
          <w:sz w:val="22"/>
          <w:szCs w:val="22"/>
        </w:rPr>
      </w:pPr>
    </w:p>
    <w:p w:rsidR="00C26FB1" w:rsidRPr="00AD723E" w:rsidRDefault="00C26FB1">
      <w:pPr>
        <w:pStyle w:val="Heading2"/>
        <w:ind w:left="7080"/>
        <w:rPr>
          <w:sz w:val="22"/>
          <w:szCs w:val="22"/>
        </w:rPr>
      </w:pPr>
      <w:r w:rsidRPr="00AD723E">
        <w:rPr>
          <w:sz w:val="22"/>
          <w:szCs w:val="22"/>
        </w:rPr>
        <w:t>Załącznik II.1</w:t>
      </w:r>
    </w:p>
    <w:p w:rsidR="00C26FB1" w:rsidRPr="00AD723E" w:rsidRDefault="00C26FB1">
      <w:pPr>
        <w:pStyle w:val="Heading2"/>
        <w:rPr>
          <w:sz w:val="22"/>
          <w:szCs w:val="22"/>
        </w:rPr>
      </w:pPr>
    </w:p>
    <w:p w:rsidR="00C26FB1" w:rsidRPr="00AD723E" w:rsidRDefault="00C26FB1">
      <w:pPr>
        <w:pStyle w:val="Heading2"/>
        <w:rPr>
          <w:color w:val="FF0000"/>
          <w:sz w:val="22"/>
          <w:szCs w:val="22"/>
        </w:rPr>
      </w:pPr>
      <w:r w:rsidRPr="00AD723E">
        <w:rPr>
          <w:sz w:val="22"/>
          <w:szCs w:val="22"/>
        </w:rPr>
        <w:t>1.3. Karta modułu/przedmiotu</w:t>
      </w:r>
      <w:r w:rsidRPr="00AD723E">
        <w:rPr>
          <w:sz w:val="22"/>
          <w:szCs w:val="22"/>
        </w:rPr>
        <w:tab/>
      </w:r>
      <w:r w:rsidRPr="00AD723E">
        <w:rPr>
          <w:sz w:val="22"/>
          <w:szCs w:val="22"/>
        </w:rPr>
        <w:tab/>
      </w:r>
      <w:r w:rsidRPr="00AD723E">
        <w:rPr>
          <w:sz w:val="22"/>
          <w:szCs w:val="22"/>
        </w:rPr>
        <w:tab/>
      </w:r>
      <w:r w:rsidRPr="00AD723E">
        <w:rPr>
          <w:sz w:val="22"/>
          <w:szCs w:val="22"/>
        </w:rPr>
        <w:tab/>
      </w:r>
      <w:r w:rsidRPr="00AD723E">
        <w:rPr>
          <w:sz w:val="22"/>
          <w:szCs w:val="22"/>
        </w:rPr>
        <w:tab/>
      </w:r>
      <w:r w:rsidRPr="00AD723E">
        <w:rPr>
          <w:sz w:val="22"/>
          <w:szCs w:val="22"/>
        </w:rPr>
        <w:tab/>
      </w:r>
      <w:r w:rsidRPr="00AD723E">
        <w:rPr>
          <w:sz w:val="22"/>
          <w:szCs w:val="22"/>
        </w:rPr>
        <w:tab/>
      </w:r>
    </w:p>
    <w:p w:rsidR="00C26FB1" w:rsidRPr="00AD723E" w:rsidRDefault="00C26FB1">
      <w:pPr>
        <w:rPr>
          <w:rFonts w:ascii="Cambria" w:hAnsi="Cambria" w:cs="Cambria"/>
          <w:b/>
          <w:bCs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C26FB1" w:rsidRPr="00AD723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26FB1" w:rsidRPr="00AD723E" w:rsidRDefault="00C26FB1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:rsidR="00C26FB1" w:rsidRPr="00AD723E" w:rsidRDefault="00C26FB1" w:rsidP="00885C3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W kręgu zjawisk literackich europejskiego  romantyzmu. Motywy. Symbole. Idee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Kod modułu:</w:t>
            </w:r>
          </w:p>
        </w:tc>
      </w:tr>
      <w:tr w:rsidR="00C26FB1" w:rsidRPr="00AD723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26FB1" w:rsidRPr="00AD723E" w:rsidRDefault="00C26FB1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26FB1" w:rsidRPr="00AD723E" w:rsidRDefault="00C26FB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Nazwa przedmiotu: </w:t>
            </w:r>
          </w:p>
          <w:p w:rsidR="00C26FB1" w:rsidRPr="00AD723E" w:rsidRDefault="00C26FB1" w:rsidP="00E157B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85C37">
              <w:rPr>
                <w:rFonts w:ascii="Cambria" w:hAnsi="Cambria" w:cs="Cambria"/>
                <w:b/>
                <w:bCs/>
                <w:sz w:val="22"/>
                <w:szCs w:val="22"/>
              </w:rPr>
              <w:t>W kręgu zjawisk literackich europejskiego  romantyzmu.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  <w:r w:rsidRPr="00001E23">
              <w:rPr>
                <w:rFonts w:ascii="Cambria" w:hAnsi="Cambria" w:cs="Cambria"/>
                <w:b/>
                <w:bCs/>
                <w:sz w:val="22"/>
                <w:szCs w:val="22"/>
              </w:rPr>
              <w:t>Motywy. Symbole. Idee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Kod przedmiotu:</w:t>
            </w:r>
          </w:p>
        </w:tc>
      </w:tr>
      <w:tr w:rsidR="00C26FB1" w:rsidRPr="00AD723E">
        <w:trPr>
          <w:cantSplit/>
        </w:trPr>
        <w:tc>
          <w:tcPr>
            <w:tcW w:w="497" w:type="dxa"/>
            <w:vMerge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</w:p>
          <w:p w:rsidR="00C26FB1" w:rsidRPr="00AD723E" w:rsidRDefault="00C26FB1" w:rsidP="005A3A15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Instytut Pedagogiczno-Językowy </w:t>
            </w:r>
          </w:p>
        </w:tc>
      </w:tr>
      <w:tr w:rsidR="00C26FB1" w:rsidRPr="00AD723E">
        <w:trPr>
          <w:cantSplit/>
        </w:trPr>
        <w:tc>
          <w:tcPr>
            <w:tcW w:w="497" w:type="dxa"/>
            <w:vMerge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Nazwa kierunku:</w:t>
            </w:r>
          </w:p>
          <w:p w:rsidR="00C26FB1" w:rsidRPr="00AD723E" w:rsidRDefault="00C26FB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</w:t>
            </w:r>
          </w:p>
        </w:tc>
      </w:tr>
      <w:tr w:rsidR="00C26FB1" w:rsidRPr="00AD723E">
        <w:trPr>
          <w:cantSplit/>
        </w:trPr>
        <w:tc>
          <w:tcPr>
            <w:tcW w:w="497" w:type="dxa"/>
            <w:vMerge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:rsidR="00C26FB1" w:rsidRPr="00AD723E" w:rsidRDefault="00C26FB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:rsidR="00C26FB1" w:rsidRPr="00AD723E" w:rsidRDefault="00C26FB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Specjalność:</w:t>
            </w:r>
          </w:p>
          <w:p w:rsidR="00C26FB1" w:rsidRPr="00AD723E" w:rsidRDefault="00C26FB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f</w:t>
            </w: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ilologia polska -</w:t>
            </w:r>
          </w:p>
          <w:p w:rsidR="00C26FB1" w:rsidRPr="00AD723E" w:rsidRDefault="00C26FB1" w:rsidP="005A3A15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nauczycielska</w:t>
            </w:r>
          </w:p>
        </w:tc>
      </w:tr>
      <w:tr w:rsidR="00C26FB1" w:rsidRPr="00AD723E">
        <w:trPr>
          <w:cantSplit/>
        </w:trPr>
        <w:tc>
          <w:tcPr>
            <w:tcW w:w="497" w:type="dxa"/>
            <w:vMerge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Rok / semestr: </w:t>
            </w:r>
          </w:p>
          <w:p w:rsidR="00C26FB1" w:rsidRPr="00AD723E" w:rsidRDefault="00C26FB1" w:rsidP="005A3A15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II / 4</w:t>
            </w:r>
          </w:p>
        </w:tc>
        <w:tc>
          <w:tcPr>
            <w:tcW w:w="3173" w:type="dxa"/>
            <w:gridSpan w:val="3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:rsidR="00C26FB1" w:rsidRPr="00AD723E" w:rsidRDefault="00C26FB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f</w:t>
            </w: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(literaturoznawczy)</w:t>
            </w:r>
          </w:p>
        </w:tc>
        <w:tc>
          <w:tcPr>
            <w:tcW w:w="3171" w:type="dxa"/>
            <w:gridSpan w:val="3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:rsidR="00C26FB1" w:rsidRPr="00AD723E" w:rsidRDefault="00C26FB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polski</w:t>
            </w:r>
          </w:p>
        </w:tc>
      </w:tr>
      <w:tr w:rsidR="00C26FB1" w:rsidRPr="00AD723E">
        <w:trPr>
          <w:cantSplit/>
        </w:trPr>
        <w:tc>
          <w:tcPr>
            <w:tcW w:w="497" w:type="dxa"/>
            <w:vMerge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539" w:type="dxa"/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AD723E">
              <w:rPr>
                <w:rFonts w:ascii="Cambria" w:hAnsi="Cambria" w:cs="Cambria"/>
                <w:sz w:val="22"/>
                <w:szCs w:val="22"/>
              </w:rPr>
              <w:br/>
              <w:t>(wpisać jakie)</w:t>
            </w:r>
          </w:p>
        </w:tc>
      </w:tr>
      <w:tr w:rsidR="00C26FB1" w:rsidRPr="00AD723E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C26FB1" w:rsidRPr="00AD723E" w:rsidRDefault="00C26FB1">
      <w:pPr>
        <w:rPr>
          <w:rFonts w:ascii="Cambria" w:hAnsi="Cambria" w:cs="Cambria"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02"/>
        <w:gridCol w:w="7206"/>
      </w:tblGrid>
      <w:tr w:rsidR="00C26FB1" w:rsidRPr="00AD723E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Koordynator </w:t>
            </w: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przedmiotu / modułu</w:t>
            </w: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:rsidR="00C26FB1" w:rsidRPr="00AD723E" w:rsidRDefault="00C26FB1" w:rsidP="009D79B8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dr Katarzyna Jarosińska-Buriak</w:t>
            </w:r>
          </w:p>
        </w:tc>
      </w:tr>
      <w:tr w:rsidR="00C26FB1" w:rsidRPr="00AD723E">
        <w:tc>
          <w:tcPr>
            <w:tcW w:w="2802" w:type="dxa"/>
            <w:vAlign w:val="center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Prowadzący zajęcia</w:t>
            </w: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206" w:type="dxa"/>
            <w:vAlign w:val="center"/>
          </w:tcPr>
          <w:p w:rsidR="00C26FB1" w:rsidRPr="00AD723E" w:rsidRDefault="00C26FB1" w:rsidP="009D79B8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dr Katarzyna Jarosińska-Buriak</w:t>
            </w:r>
          </w:p>
        </w:tc>
      </w:tr>
      <w:tr w:rsidR="00C26FB1" w:rsidRPr="00AD723E">
        <w:tc>
          <w:tcPr>
            <w:tcW w:w="2802" w:type="dxa"/>
            <w:vAlign w:val="center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Cel przedmiotu / modułu</w:t>
            </w: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206" w:type="dxa"/>
            <w:vAlign w:val="center"/>
          </w:tcPr>
          <w:p w:rsidR="00C26FB1" w:rsidRPr="00AD723E" w:rsidRDefault="00C26FB1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Pogłębienie i usystematyzowanie wiedzy o wybitnych arcydziełach literatury światowej (przede wszystkim europejskiej) z jednoczesnym wprowadzeniem elementów analizy historycznoliterackiej. </w:t>
            </w:r>
          </w:p>
          <w:p w:rsidR="00C26FB1" w:rsidRPr="00AD723E" w:rsidRDefault="00C26FB1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Wyposażenie w narzędzia i umiejętności pozwalające na rozpoznanie wybranych koncepcji filozoficznych epoki w dziele literackim, ze szczególnym uwzględnieniem ich konsekwencji znaczeniowych i formalnych.</w:t>
            </w:r>
          </w:p>
          <w:p w:rsidR="00C26FB1" w:rsidRPr="00AD723E" w:rsidRDefault="00C26FB1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Usystematyzowanie wiedzy o najistotniejszych trendach, tendencjach i nurtach artystycznych epok, ze szczególnym uwzględnieniem postulatów dotyczących literatury oraz kontekstów filozoficznych. </w:t>
            </w:r>
          </w:p>
          <w:p w:rsidR="00C26FB1" w:rsidRPr="00AD723E" w:rsidRDefault="00C26FB1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Zapoznanie z charakterystycznymi wyznacznikami warsztatu poetyckiego i dramaturgicznego.</w:t>
            </w:r>
          </w:p>
          <w:p w:rsidR="00C26FB1" w:rsidRPr="00AD723E" w:rsidRDefault="00C26FB1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Zapoznanie z kontekstem malarskim epoki.</w:t>
            </w:r>
          </w:p>
          <w:p w:rsidR="00C26FB1" w:rsidRPr="00AD723E" w:rsidRDefault="00C26FB1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Zapoznanie z wyznacznikami stylistyki i konwencji literackich wybranych utworów, ze szczególnym podkreśleniem aspektu macierzystego kontekstu epoki i relacji względem tradycji historycznoliterackiej. </w:t>
            </w:r>
          </w:p>
          <w:p w:rsidR="00C26FB1" w:rsidRPr="00AD723E" w:rsidRDefault="00C26FB1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Uświadomienie możliwości różnorodnych sposobów interpretacji, pomagających w zrozumieniu niejednorodnych pod względem przynależności gatunkowej oraz zróżnicowanych co do stopnia trudności, utworów literackich.</w:t>
            </w: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Wymagania wstępne</w:t>
            </w: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:rsidR="00C26FB1" w:rsidRPr="00AD723E" w:rsidRDefault="00C26FB1" w:rsidP="00110206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Wiadomości z zakresu literatury romantyzmu na poziomie szkoły średniej. Znajomość aparatury pojęciowej z zakresu analizy i interpretacji dzieła literackiego.</w:t>
            </w:r>
          </w:p>
        </w:tc>
      </w:tr>
    </w:tbl>
    <w:p w:rsidR="00C26FB1" w:rsidRPr="00AD723E" w:rsidRDefault="00C26FB1">
      <w:pPr>
        <w:rPr>
          <w:rFonts w:ascii="Cambria" w:hAnsi="Cambria" w:cs="Cambr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00"/>
        <w:gridCol w:w="40"/>
        <w:gridCol w:w="2275"/>
        <w:gridCol w:w="3485"/>
        <w:gridCol w:w="400"/>
        <w:gridCol w:w="1400"/>
      </w:tblGrid>
      <w:tr w:rsidR="00C26FB1" w:rsidRPr="00AD723E">
        <w:trPr>
          <w:cantSplit/>
        </w:trPr>
        <w:tc>
          <w:tcPr>
            <w:tcW w:w="10008" w:type="dxa"/>
            <w:gridSpan w:val="7"/>
            <w:tcBorders>
              <w:top w:val="single" w:sz="12" w:space="0" w:color="auto"/>
              <w:bottom w:val="nil"/>
            </w:tcBorders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EFEKTY KSZTAŁCENIA</w:t>
            </w:r>
          </w:p>
        </w:tc>
      </w:tr>
      <w:tr w:rsidR="00C26FB1" w:rsidRPr="00AD723E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Nr</w:t>
            </w:r>
          </w:p>
        </w:tc>
        <w:tc>
          <w:tcPr>
            <w:tcW w:w="7700" w:type="dxa"/>
            <w:gridSpan w:val="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Odniesienie do efektów dla </w:t>
            </w: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kierunku</w:t>
            </w:r>
          </w:p>
        </w:tc>
      </w:tr>
      <w:tr w:rsidR="00C26FB1" w:rsidRPr="00AD723E">
        <w:trPr>
          <w:cantSplit/>
        </w:trPr>
        <w:tc>
          <w:tcPr>
            <w:tcW w:w="908" w:type="dxa"/>
            <w:vAlign w:val="center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C26FB1" w:rsidRPr="004E3DD3" w:rsidRDefault="00C26FB1" w:rsidP="0084720B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A0116">
              <w:rPr>
                <w:rFonts w:ascii="Cambria" w:hAnsi="Cambria" w:cs="Cambria"/>
                <w:sz w:val="22"/>
                <w:szCs w:val="22"/>
              </w:rPr>
              <w:t>Odtwarza i stosuje w sposób uporządkowany wiedzę z zakresu metod literaturoznawczej analizy i interpretacji dzieł z różnych epok oraz odpowiednio dobiera metody analizy i interpretacji literaturoznawczej.</w:t>
            </w:r>
          </w:p>
        </w:tc>
        <w:tc>
          <w:tcPr>
            <w:tcW w:w="1400" w:type="dxa"/>
            <w:vAlign w:val="center"/>
          </w:tcPr>
          <w:p w:rsidR="00C26FB1" w:rsidRPr="004E3DD3" w:rsidRDefault="00C26FB1" w:rsidP="008472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K_W07</w:t>
            </w:r>
          </w:p>
        </w:tc>
      </w:tr>
      <w:tr w:rsidR="00C26FB1" w:rsidRPr="00AD723E">
        <w:trPr>
          <w:cantSplit/>
        </w:trPr>
        <w:tc>
          <w:tcPr>
            <w:tcW w:w="908" w:type="dxa"/>
            <w:vAlign w:val="center"/>
          </w:tcPr>
          <w:p w:rsidR="00C26FB1" w:rsidRPr="00AD723E" w:rsidRDefault="00C26FB1" w:rsidP="00113540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2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C26FB1" w:rsidRPr="00AD723E" w:rsidRDefault="00C26FB1" w:rsidP="00AA7F5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Operuje podstawowymi wiadomościami z zakresu wybranych dzieł literackich doby romantyzmu, ich kontekstu filozoficznego i powiązań z dziedziną sztuk plastycznych.</w:t>
            </w:r>
          </w:p>
        </w:tc>
        <w:tc>
          <w:tcPr>
            <w:tcW w:w="1400" w:type="dxa"/>
            <w:vAlign w:val="center"/>
          </w:tcPr>
          <w:p w:rsidR="00C26FB1" w:rsidRPr="00AD723E" w:rsidRDefault="00C26FB1" w:rsidP="0051753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K_W11</w:t>
            </w:r>
          </w:p>
        </w:tc>
      </w:tr>
      <w:tr w:rsidR="00C26FB1" w:rsidRPr="00AD723E">
        <w:trPr>
          <w:cantSplit/>
        </w:trPr>
        <w:tc>
          <w:tcPr>
            <w:tcW w:w="908" w:type="dxa"/>
            <w:vAlign w:val="center"/>
          </w:tcPr>
          <w:p w:rsidR="00C26FB1" w:rsidRPr="00AD723E" w:rsidRDefault="00C26FB1" w:rsidP="00113540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3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C26FB1" w:rsidRPr="00AD723E" w:rsidRDefault="00C26FB1" w:rsidP="00F1722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Wskazuje podstawowe elementy postawy romantycznej odwołując się do przykładów bohaterów dzieł literackich Puszkina, Goethego, Schillera, Chateaubrianda i Madame de Staël.</w:t>
            </w:r>
          </w:p>
        </w:tc>
        <w:tc>
          <w:tcPr>
            <w:tcW w:w="1400" w:type="dxa"/>
            <w:vAlign w:val="center"/>
          </w:tcPr>
          <w:p w:rsidR="00C26FB1" w:rsidRPr="00AD723E" w:rsidRDefault="00C26FB1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K_W11</w:t>
            </w:r>
          </w:p>
        </w:tc>
      </w:tr>
      <w:tr w:rsidR="00C26FB1" w:rsidRPr="00AD723E">
        <w:trPr>
          <w:cantSplit/>
        </w:trPr>
        <w:tc>
          <w:tcPr>
            <w:tcW w:w="908" w:type="dxa"/>
            <w:vAlign w:val="center"/>
          </w:tcPr>
          <w:p w:rsidR="00C26FB1" w:rsidRPr="00AD723E" w:rsidRDefault="00C26FB1" w:rsidP="00113540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C26FB1" w:rsidRPr="00AD723E" w:rsidRDefault="00C26FB1" w:rsidP="00F1722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Rozróżnia i przywołuje podstawowe tendencje filozoficzne epoki. </w:t>
            </w:r>
          </w:p>
        </w:tc>
        <w:tc>
          <w:tcPr>
            <w:tcW w:w="1400" w:type="dxa"/>
            <w:vAlign w:val="center"/>
          </w:tcPr>
          <w:p w:rsidR="00C26FB1" w:rsidRPr="00AD723E" w:rsidRDefault="00C26FB1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K_W11</w:t>
            </w:r>
          </w:p>
        </w:tc>
      </w:tr>
      <w:tr w:rsidR="00C26FB1" w:rsidRPr="00AD723E">
        <w:trPr>
          <w:cantSplit/>
        </w:trPr>
        <w:tc>
          <w:tcPr>
            <w:tcW w:w="908" w:type="dxa"/>
            <w:vAlign w:val="center"/>
          </w:tcPr>
          <w:p w:rsidR="00C26FB1" w:rsidRPr="00AD723E" w:rsidRDefault="00C26FB1" w:rsidP="00113540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5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C26FB1" w:rsidRPr="00AD723E" w:rsidRDefault="00C26FB1" w:rsidP="00F1722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Rozróżnia i przywołuje podstawowe tendencje malarskie epoki.</w:t>
            </w:r>
          </w:p>
        </w:tc>
        <w:tc>
          <w:tcPr>
            <w:tcW w:w="1400" w:type="dxa"/>
            <w:vAlign w:val="center"/>
          </w:tcPr>
          <w:p w:rsidR="00C26FB1" w:rsidRPr="00AD723E" w:rsidRDefault="00C26FB1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K_W11</w:t>
            </w:r>
          </w:p>
        </w:tc>
      </w:tr>
      <w:tr w:rsidR="00C26FB1" w:rsidRPr="00AD723E">
        <w:trPr>
          <w:cantSplit/>
        </w:trPr>
        <w:tc>
          <w:tcPr>
            <w:tcW w:w="908" w:type="dxa"/>
            <w:vAlign w:val="center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C26FB1" w:rsidRPr="004E3DD3" w:rsidRDefault="00C26FB1" w:rsidP="0084720B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A0116">
              <w:rPr>
                <w:rFonts w:ascii="Cambria" w:hAnsi="Cambria" w:cs="Cambria"/>
                <w:sz w:val="22"/>
                <w:szCs w:val="22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vAlign w:val="center"/>
          </w:tcPr>
          <w:p w:rsidR="00C26FB1" w:rsidRPr="004E3DD3" w:rsidRDefault="00C26FB1" w:rsidP="008472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K_U01</w:t>
            </w:r>
          </w:p>
        </w:tc>
      </w:tr>
      <w:tr w:rsidR="00C26FB1" w:rsidRPr="00AD723E">
        <w:trPr>
          <w:cantSplit/>
        </w:trPr>
        <w:tc>
          <w:tcPr>
            <w:tcW w:w="908" w:type="dxa"/>
            <w:vAlign w:val="center"/>
          </w:tcPr>
          <w:p w:rsidR="00C26FB1" w:rsidRPr="00AD723E" w:rsidRDefault="00C26FB1" w:rsidP="004E7B4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7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C26FB1" w:rsidRPr="00AD723E" w:rsidRDefault="00C26FB1" w:rsidP="00AA7F5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Opisuje i pozycjonuje swoją wiedzę w perspektywie całości dorobku romantyzmu europejskiego.</w:t>
            </w:r>
          </w:p>
        </w:tc>
        <w:tc>
          <w:tcPr>
            <w:tcW w:w="1400" w:type="dxa"/>
            <w:vAlign w:val="center"/>
          </w:tcPr>
          <w:p w:rsidR="00C26FB1" w:rsidRPr="00AD723E" w:rsidRDefault="00C26FB1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K_K01</w:t>
            </w:r>
          </w:p>
        </w:tc>
      </w:tr>
      <w:tr w:rsidR="00C26FB1" w:rsidRPr="00AD723E">
        <w:trPr>
          <w:cantSplit/>
        </w:trPr>
        <w:tc>
          <w:tcPr>
            <w:tcW w:w="908" w:type="dxa"/>
            <w:vAlign w:val="center"/>
          </w:tcPr>
          <w:p w:rsidR="00C26FB1" w:rsidRPr="00AD723E" w:rsidRDefault="00C26FB1" w:rsidP="004E7B4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08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C26FB1" w:rsidRPr="004E3DD3" w:rsidRDefault="00C26FB1" w:rsidP="0084720B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A0116">
              <w:rPr>
                <w:rFonts w:ascii="Cambria" w:hAnsi="Cambria" w:cs="Cambria"/>
                <w:sz w:val="22"/>
                <w:szCs w:val="22"/>
              </w:rPr>
              <w:t>Potrafi krytycznie weryfikować i przeformułowywać swoje stanowiska i sądy.</w:t>
            </w:r>
          </w:p>
        </w:tc>
        <w:tc>
          <w:tcPr>
            <w:tcW w:w="1400" w:type="dxa"/>
            <w:vAlign w:val="center"/>
          </w:tcPr>
          <w:p w:rsidR="00C26FB1" w:rsidRPr="004E3DD3" w:rsidRDefault="00C26FB1" w:rsidP="008472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K_K04</w:t>
            </w:r>
          </w:p>
        </w:tc>
      </w:tr>
      <w:tr w:rsidR="00C26FB1" w:rsidRPr="00AD723E">
        <w:trPr>
          <w:cantSplit/>
        </w:trPr>
        <w:tc>
          <w:tcPr>
            <w:tcW w:w="908" w:type="dxa"/>
            <w:vAlign w:val="center"/>
          </w:tcPr>
          <w:p w:rsidR="00C26FB1" w:rsidRPr="00AD723E" w:rsidRDefault="00C26FB1" w:rsidP="004E7B4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9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C26FB1" w:rsidRPr="00AD723E" w:rsidRDefault="00C26FB1" w:rsidP="00E7585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Rekonstruuje światopogląd okresu jako element dziedzictwa kulturowego regionu, kraju i Europy oraz wskazuje jego reperkusje w sferze współczesności, mając świadomość jego ponadczasowego charakteru.</w:t>
            </w:r>
          </w:p>
        </w:tc>
        <w:tc>
          <w:tcPr>
            <w:tcW w:w="1400" w:type="dxa"/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K_K08</w:t>
            </w:r>
          </w:p>
        </w:tc>
      </w:tr>
      <w:tr w:rsidR="00C26FB1" w:rsidRPr="00AD723E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00" w:type="dxa"/>
            <w:gridSpan w:val="5"/>
            <w:tcBorders>
              <w:bottom w:val="single" w:sz="12" w:space="0" w:color="auto"/>
              <w:right w:val="nil"/>
            </w:tcBorders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TREŚCI PROGRAMOWE</w:t>
            </w:r>
          </w:p>
        </w:tc>
      </w:tr>
      <w:tr w:rsidR="00C26FB1" w:rsidRPr="00AD7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C26FB1" w:rsidRPr="00AD723E" w:rsidRDefault="00C26FB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Wykład</w:t>
            </w:r>
          </w:p>
        </w:tc>
      </w:tr>
      <w:tr w:rsidR="00C26FB1" w:rsidRPr="00AD7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C26FB1" w:rsidRPr="00AD723E" w:rsidRDefault="00C26FB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C26FB1" w:rsidRPr="00AD723E" w:rsidRDefault="00C26FB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C26FB1" w:rsidRPr="00AD7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C26FB1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Ogród francuski a ogród angielski jako wyraz filozofii twórczości i zapowiedź przełomu romantycznego.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Przemiany rozumienia wyrazu romantyzm w koncepcjach filozofów i literatów. 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Najistotniejsze zjawiska epoki „Sturm und Drang”.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„Zbójcy” Schillera jako zapowiedź dramatu romantycznego. Schiller jako twórca bohatera „zbuntowanego”.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Charakterystyka twórczości Novalisa. Idea nocy, snu, marzenia w literaturze i malarstwie romantycznym.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„Kot w butach” Tiecka jako przykład realizacji idei ironii romantycznej. Nowatorski charakter </w:t>
            </w:r>
            <w:r>
              <w:rPr>
                <w:rFonts w:ascii="Cambria" w:hAnsi="Cambria" w:cs="Cambria"/>
                <w:sz w:val="22"/>
                <w:szCs w:val="22"/>
              </w:rPr>
              <w:t>dzieła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Malarstwo doby romantyzmu – tematy, wątki, motywy, przedstawiciele (</w:t>
            </w:r>
            <w:r>
              <w:rPr>
                <w:rFonts w:ascii="Cambria" w:hAnsi="Cambria" w:cs="Cambria"/>
                <w:sz w:val="22"/>
                <w:szCs w:val="22"/>
              </w:rPr>
              <w:t>Friedrich,</w:t>
            </w:r>
            <w:r w:rsidRPr="00AD723E">
              <w:rPr>
                <w:rFonts w:ascii="Cambria" w:hAnsi="Cambria" w:cs="Cambria"/>
                <w:sz w:val="22"/>
                <w:szCs w:val="22"/>
              </w:rPr>
              <w:t xml:space="preserve"> Goya, Géricault, Delacroix).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Twórczość literacka Madame de Staël (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Korynna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). Madame de Staël i jej koncepcja literatury.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Filozofia Jana Jakuba Rousseau.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Johann Gottlieb Fichte i jego filozofia.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Dualizm w koncepcjach prawodawców romantyzmu.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D723E">
              <w:rPr>
                <w:rFonts w:ascii="Cambria" w:hAnsi="Cambria" w:cs="Cambria"/>
                <w:sz w:val="22"/>
                <w:szCs w:val="22"/>
              </w:rPr>
              <w:t xml:space="preserve">Kategoria dualizmu w literaturze romantycznej. 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Filozofia Hegla.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Fran</w:t>
            </w:r>
            <w:r w:rsidRPr="00AD723E">
              <w:rPr>
                <w:rFonts w:ascii="MS Mincho" w:eastAsia="MS Mincho" w:hAnsi="MS Mincho" w:cs="MS Mincho" w:hint="eastAsia"/>
                <w:sz w:val="22"/>
                <w:szCs w:val="22"/>
              </w:rPr>
              <w:t>ҫ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oise – René Chateaubriand i jego „nowoczesna melancholia“ (twórczość i model bohatera literackiego).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Charakterystyka bohaterów „Eugeniusza Oniegina” Puszkina. Eugeniusz Oniegin jako antybohater romantyczny.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„Eugeniusz Oniegin” jako przykład ironii romantycznej. „Eugeniusz Oniegin” jako dzieło synkretyczne (poemat dygresyjny, epopeja, nowoczesna powieść psychologiczno-obyczajowa pisana wierszem).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Charakterystyka Fausta. „Faust” Goethego jako dzieło filozoficzne.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Koncepcja donna angelicata. Bohaterki romantyczne ucieleśniające ideał donna angelicata.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Teoria korespondencji sztuk.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Gotycyzm w literaturze i kulturze doby romantyzmu (malarstwo i literatura).</w:t>
            </w:r>
          </w:p>
          <w:p w:rsidR="00C26FB1" w:rsidRPr="00AD723E" w:rsidRDefault="00C26FB1" w:rsidP="00F24A4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Echa filozofii idealistycznej w myśli, literaturze i malarstwie romantycznym.</w:t>
            </w: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C26FB1" w:rsidRPr="00AD723E" w:rsidRDefault="00C26FB1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</w:tr>
      <w:tr w:rsidR="00C26FB1" w:rsidRPr="00AD7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C26FB1" w:rsidRPr="00AD723E" w:rsidRDefault="00C26FB1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</w:tr>
      <w:tr w:rsidR="00C26FB1" w:rsidRPr="00AD7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gridSpan w:val="4"/>
            <w:tcBorders>
              <w:top w:val="single" w:sz="12" w:space="0" w:color="auto"/>
            </w:tcBorders>
          </w:tcPr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J.W. Goethe,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Cierpienia młodego Wertera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przeł. Franciszek Mirandola, oprac. Zygmunt Zagórowski, Karków 1992, BN II, 22.</w:t>
            </w:r>
          </w:p>
          <w:p w:rsidR="00C26FB1" w:rsidRPr="00447177" w:rsidRDefault="00C26FB1" w:rsidP="00E75855">
            <w:pPr>
              <w:rPr>
                <w:rFonts w:ascii="Cambria" w:hAnsi="Cambria" w:cs="Cambria"/>
                <w:sz w:val="22"/>
                <w:szCs w:val="22"/>
                <w:lang w:val="de-CH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J. W. Goethe,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Faust</w:t>
            </w:r>
            <w:r w:rsidRPr="00AD723E">
              <w:rPr>
                <w:rFonts w:ascii="Cambria" w:hAnsi="Cambria" w:cs="Cambria"/>
                <w:sz w:val="22"/>
                <w:szCs w:val="22"/>
              </w:rPr>
              <w:t xml:space="preserve">, cz. 1 I 2, przeł. </w:t>
            </w:r>
            <w:r w:rsidRPr="00447177">
              <w:rPr>
                <w:rFonts w:ascii="Cambria" w:hAnsi="Cambria" w:cs="Cambria"/>
                <w:sz w:val="22"/>
                <w:szCs w:val="22"/>
                <w:lang w:val="de-CH"/>
              </w:rPr>
              <w:t>Feliks Konopka, Warszawa 1962.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  <w:lang w:val="de-DE"/>
              </w:rPr>
              <w:t xml:space="preserve">Friedrich von Schiller,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 xml:space="preserve">Zbójcy.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Dramat w pięciu aktach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przeł. Feliks Konopka, wstępem i objaśnieniami opatrzyła Olga Dobijanka-Witczakowa, Wrocław 1964, BN II, 30.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Poeci języka angielskiego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wybór i opracowanie Henryk Krzeczkowski, Jerzy Stanisław Sito, Juliusz Żuławski, t. 1-3, Warszawa 1969-1974 (William Blake, William Wordsworth, Samuel Taylor Coleridge, Percy Bysshe Shelley, John Keats).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L. Tieck,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Kot w butach. Świat na opak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przeł. L. Libera, Zielona Góra 2007.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Wiliam Blake,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Poezje wybrane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przeł. i oprac. Z. Kubiak, Warszawa 1991.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Walter Scott,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Waverley albo laty temu sześćdziesiąt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przeł. Teresa Świderska, Warszawa 1961.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George Gordon Byron,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Wybór dzieł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wybór, przedmowa, redakcja i przypisy Juliusz Żuławski, Warszawa 1959 (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Giaur, Korsarz, Don Juan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).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447177">
              <w:rPr>
                <w:rFonts w:ascii="Cambria" w:hAnsi="Cambria" w:cs="Cambria"/>
                <w:sz w:val="22"/>
                <w:szCs w:val="22"/>
              </w:rPr>
              <w:t xml:space="preserve">Francoise-René Chateaubriand, </w:t>
            </w:r>
            <w:r w:rsidRPr="00447177">
              <w:rPr>
                <w:rFonts w:ascii="Cambria" w:hAnsi="Cambria" w:cs="Cambria"/>
                <w:i/>
                <w:iCs/>
                <w:sz w:val="22"/>
                <w:szCs w:val="22"/>
              </w:rPr>
              <w:t>René</w:t>
            </w:r>
            <w:r w:rsidRPr="00447177">
              <w:rPr>
                <w:rFonts w:ascii="Cambria" w:hAnsi="Cambria" w:cs="Cambria"/>
                <w:sz w:val="22"/>
                <w:szCs w:val="22"/>
              </w:rPr>
              <w:t xml:space="preserve">, przeł. 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Tadeusz Żeleński- Boy, oprac. Anna Tatarkiewiczowa, Wrocław 1964, BN II, 148.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Victor Hugo,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Nędznicy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przeł. Krystyna Byczewska, t. 1-4, Warszawa 1962.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Alfred de Musset,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Komedie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przeł. i wstępem opatrzył Tadeusz Żeleński – Boy, Warszawa 1949 (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Kaprysy Marianny</w:t>
            </w:r>
            <w:r w:rsidRPr="00AD723E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Nie igra się z miłością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).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Aleksander Puszkin,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Eugeniusz Oniegin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przeł. Adam Ważyk, Warszawa 1956.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Stendhal,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Czerwone i czarne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przeł. i wstępem opatrzył Tadeusz Żeleński – Boy, Warszawa 1957.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  <w:lang w:val="de-DE"/>
              </w:rPr>
              <w:t xml:space="preserve">Heinrich von Kleist,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Dramaty i nowele</w:t>
            </w:r>
            <w:r w:rsidRPr="00AD723E">
              <w:rPr>
                <w:rFonts w:ascii="Cambria" w:hAnsi="Cambria" w:cs="Cambria"/>
                <w:sz w:val="22"/>
                <w:szCs w:val="22"/>
                <w:lang w:val="de-DE"/>
              </w:rPr>
              <w:t xml:space="preserve">, przeł. 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Witold Hulewicz, Jan Sztaudynger, Edyta Sicińska, wstęp i komentarze Mieczysław Urbanowicz, Wrocław 1969.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James Macpherson,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Pieśni Osjana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przeł. S. Goszczyński, przekład zweryfikował i opracował J. Strzetelski, Wrocław 1980, BN II, 202.</w:t>
            </w:r>
          </w:p>
          <w:p w:rsidR="00C26FB1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  <w:u w:val="single"/>
              </w:rPr>
              <w:t>Opracowania</w:t>
            </w: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Mario Praz,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Zmysły, śmierć i diabeł w literaturze romantycznej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przeł. Krzysztof Żaboklicki, słowo wstępne Mieczysława Brahmera, Warszawa 1974.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Irena Dobrzycka,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Kształtowanie się twórczości Byrona. Bohater byroniczny a zagadnienie narodowe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Wrocław 1963.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Manifesty romantyzmu 1790-1830. Anglia, Niemcy, Francja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wybór tekstów i opracowanie Alina Kowalczykowa, Warszawa 1975.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Francis Claudon,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Encyklopedia romantyzmu. Malarstwo, rzeźba, architektura, literatura, muzyka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przeł. Helena Kęszycka, Warszawa 1992.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G. Lanson, P. Tuffrau,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Historia literatury francuskiej w zarysie</w:t>
            </w:r>
            <w:r w:rsidRPr="00AD723E">
              <w:rPr>
                <w:rFonts w:ascii="Cambria" w:hAnsi="Cambria" w:cs="Cambria"/>
                <w:sz w:val="22"/>
                <w:szCs w:val="22"/>
              </w:rPr>
              <w:t xml:space="preserve">, Warszawa 1971. 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Słownik pisarzy rosyjskich</w:t>
            </w:r>
            <w:r w:rsidRPr="00AD723E">
              <w:rPr>
                <w:rFonts w:ascii="Cambria" w:hAnsi="Cambria" w:cs="Cambria"/>
                <w:sz w:val="22"/>
                <w:szCs w:val="22"/>
              </w:rPr>
              <w:t xml:space="preserve">, pod redakcją F. Nieuważnego, Warszawa 1994. 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Z. Ciesielski,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Słownik pisarzy skandynawskich, Warszawa 1991</w:t>
            </w:r>
            <w:r w:rsidRPr="00AD723E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Dzieje literatur europejskich t. 1-3, </w:t>
            </w:r>
            <w:r w:rsidRPr="00AD723E">
              <w:rPr>
                <w:rFonts w:ascii="Cambria" w:hAnsi="Cambria" w:cs="Cambria"/>
                <w:sz w:val="22"/>
                <w:szCs w:val="22"/>
              </w:rPr>
              <w:t xml:space="preserve">pod red. W. Floryana, Warszawa 1977-91. </w:t>
            </w:r>
          </w:p>
          <w:p w:rsidR="00C26FB1" w:rsidRPr="00AD723E" w:rsidRDefault="00C26FB1" w:rsidP="00E75855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J. Heistein,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Literatura francuska XX wieku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Warszawa 1991.</w:t>
            </w:r>
          </w:p>
          <w:p w:rsidR="00C26FB1" w:rsidRDefault="00C26FB1" w:rsidP="00E7585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G. Sampson,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Historia literatury angielskiej w zarysie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tłum. P. Graff, Warszawa 1967.</w:t>
            </w:r>
          </w:p>
          <w:p w:rsidR="00C26FB1" w:rsidRPr="00AD723E" w:rsidRDefault="00C26FB1" w:rsidP="00E7585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c>
          <w:tcPr>
            <w:tcW w:w="2448" w:type="dxa"/>
            <w:gridSpan w:val="3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Literatura uzupełniająca</w:t>
            </w: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4"/>
          </w:tcPr>
          <w:p w:rsidR="00C26FB1" w:rsidRPr="00AD723E" w:rsidRDefault="00C26FB1" w:rsidP="00FC1896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Agata Bielik-Robson, </w:t>
            </w:r>
            <w:r w:rsidRPr="00D34224">
              <w:rPr>
                <w:rFonts w:ascii="Cambria" w:hAnsi="Cambria" w:cs="Cambria"/>
                <w:i/>
                <w:iCs/>
                <w:sz w:val="22"/>
                <w:szCs w:val="22"/>
              </w:rPr>
              <w:t>Romantyzm – niedokończony projekt. Eseje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Kraków 2008.</w:t>
            </w:r>
          </w:p>
          <w:p w:rsidR="00C26FB1" w:rsidRPr="00AD723E" w:rsidRDefault="00C26FB1" w:rsidP="00FC1896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Friedrich Hölderlin,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Co się ostaje, ustanawiają poeci (100 najsłynniejszych wierszy)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wydanie drugie rozszerzone, przekład Antoniego Libery, Gdańsk 2009.</w:t>
            </w:r>
          </w:p>
          <w:p w:rsidR="00C26FB1" w:rsidRPr="00AD723E" w:rsidRDefault="00C26FB1" w:rsidP="00FC189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W. Tatarkiewicz,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Historia filozofii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 t. I-III, Warszawa 1990.</w:t>
            </w:r>
          </w:p>
          <w:p w:rsidR="00C26FB1" w:rsidRPr="00AD723E" w:rsidRDefault="00C26FB1" w:rsidP="00FC189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W. Tatarkiewicz,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Dzieje sześciu pojęć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Warszawa 1988.</w:t>
            </w:r>
          </w:p>
          <w:p w:rsidR="00C26FB1" w:rsidRPr="00AD723E" w:rsidRDefault="00C26FB1" w:rsidP="00FC1896">
            <w:pPr>
              <w:jc w:val="both"/>
              <w:rPr>
                <w:rFonts w:ascii="Cambria" w:hAnsi="Cambria" w:cs="Cambria"/>
                <w:i/>
                <w:i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Historia piękna</w:t>
            </w:r>
            <w:r w:rsidRPr="00AD723E">
              <w:rPr>
                <w:rFonts w:ascii="Cambria" w:hAnsi="Cambria" w:cs="Cambria"/>
                <w:sz w:val="22"/>
                <w:szCs w:val="22"/>
              </w:rPr>
              <w:t xml:space="preserve">, pod red. Umberto Eco, Poznań 2007 (tu: 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Piękno romantyczne 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i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Religia piękna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).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</w:t>
            </w:r>
          </w:p>
          <w:p w:rsidR="00C26FB1" w:rsidRPr="00AD723E" w:rsidRDefault="00C26FB1" w:rsidP="00FC1896">
            <w:pPr>
              <w:jc w:val="both"/>
              <w:rPr>
                <w:rFonts w:ascii="Cambria" w:hAnsi="Cambria" w:cs="Cambria"/>
                <w:i/>
                <w:i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Maski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wybór, opracowanie i redakcja Maria Janion i Stanisław Rosiek, t. 1 i 2, Gdańsk 1986.</w:t>
            </w: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</w:t>
            </w:r>
          </w:p>
          <w:p w:rsidR="00C26FB1" w:rsidRPr="00AD723E" w:rsidRDefault="00C26FB1" w:rsidP="00FC1896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i/>
                <w:iCs/>
                <w:sz w:val="22"/>
                <w:szCs w:val="22"/>
              </w:rPr>
              <w:t>Ikonografia romantyczna</w:t>
            </w:r>
            <w:r w:rsidRPr="00AD723E">
              <w:rPr>
                <w:rFonts w:ascii="Cambria" w:hAnsi="Cambria" w:cs="Cambria"/>
                <w:sz w:val="22"/>
                <w:szCs w:val="22"/>
              </w:rPr>
              <w:t>, pod red. Marii Poprzęckiej, Warszawa 1977.</w:t>
            </w:r>
          </w:p>
        </w:tc>
      </w:tr>
      <w:tr w:rsidR="00C26FB1" w:rsidRPr="00AD723E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26FB1" w:rsidRPr="00AD723E" w:rsidRDefault="00C26FB1" w:rsidP="004E7B4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wykład (problemowy, konwersatoryjny), pogadanka, opis, prezentacja multimedialna, praca z tekstem, dyskusja, mapa myśli, schematy wyboru, burza mózgów, praca z obrazami, narzędzia TOC</w:t>
            </w:r>
          </w:p>
        </w:tc>
      </w:tr>
      <w:tr w:rsidR="00C26FB1" w:rsidRPr="00AD723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26FB1" w:rsidRPr="00AD723E" w:rsidRDefault="00C26FB1" w:rsidP="00124E79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Nr efektu kształcenia przedmiotu</w:t>
            </w:r>
          </w:p>
        </w:tc>
      </w:tr>
      <w:tr w:rsidR="00C26FB1" w:rsidRPr="00AD723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bottom w:val="single" w:sz="2" w:space="0" w:color="auto"/>
            </w:tcBorders>
          </w:tcPr>
          <w:p w:rsidR="00C26FB1" w:rsidRPr="00AD723E" w:rsidRDefault="00C26FB1" w:rsidP="00E41D5F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Ustna lub pisemna odpowiedź obejmująca zagadnienia z wykładów (ocena)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01  02  03  04  05  06  07  08  09</w:t>
            </w:r>
          </w:p>
        </w:tc>
      </w:tr>
      <w:tr w:rsidR="00C26FB1" w:rsidRPr="00AD723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C26FB1" w:rsidRPr="00AD723E" w:rsidRDefault="00C26FB1" w:rsidP="00113540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Aktywność na </w:t>
            </w:r>
            <w:r>
              <w:rPr>
                <w:rFonts w:ascii="Cambria" w:hAnsi="Cambria" w:cs="Cambria"/>
                <w:sz w:val="22"/>
                <w:szCs w:val="22"/>
              </w:rPr>
              <w:t>ćwiczeniach.</w:t>
            </w:r>
          </w:p>
        </w:tc>
        <w:tc>
          <w:tcPr>
            <w:tcW w:w="1800" w:type="dxa"/>
            <w:gridSpan w:val="2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01  02  03  04  05  06  07  08  09</w:t>
            </w:r>
          </w:p>
        </w:tc>
      </w:tr>
      <w:tr w:rsidR="00C26FB1" w:rsidRPr="00AD723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Praca w grupach i prezentacja efektów pracy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800" w:type="dxa"/>
            <w:gridSpan w:val="2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01  02  03  04  05  06  07  08  09</w:t>
            </w:r>
          </w:p>
        </w:tc>
      </w:tr>
      <w:tr w:rsidR="00C26FB1" w:rsidRPr="00AD723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bottom w:val="single" w:sz="12" w:space="0" w:color="auto"/>
            </w:tcBorders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C26FB1" w:rsidRPr="00AD723E" w:rsidRDefault="00C26FB1" w:rsidP="004E7B4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C26FB1" w:rsidRDefault="00C26FB1" w:rsidP="00E41D5F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Ustna lub pisemna odpowiedź obejmująca zagadnienia z </w:t>
            </w:r>
            <w:r>
              <w:rPr>
                <w:rFonts w:ascii="Cambria" w:hAnsi="Cambria" w:cs="Cambria"/>
                <w:sz w:val="22"/>
                <w:szCs w:val="22"/>
              </w:rPr>
              <w:t>ćwiczeń</w:t>
            </w:r>
            <w:r w:rsidRPr="00AD723E">
              <w:rPr>
                <w:rFonts w:ascii="Cambria" w:hAnsi="Cambria" w:cs="Cambria"/>
                <w:sz w:val="22"/>
                <w:szCs w:val="22"/>
              </w:rPr>
              <w:t xml:space="preserve"> (ocena). </w:t>
            </w:r>
          </w:p>
          <w:p w:rsidR="00C26FB1" w:rsidRPr="00814A3D" w:rsidRDefault="00C26FB1" w:rsidP="00E41D5F">
            <w:pPr>
              <w:rPr>
                <w:rFonts w:ascii="Cambria" w:hAnsi="Cambria" w:cs="Cambria"/>
                <w:sz w:val="22"/>
                <w:szCs w:val="22"/>
              </w:rPr>
            </w:pPr>
            <w:r w:rsidRPr="00814A3D">
              <w:rPr>
                <w:rFonts w:ascii="Cambria" w:hAnsi="Cambria" w:cs="Cambria"/>
                <w:sz w:val="22"/>
                <w:szCs w:val="22"/>
              </w:rPr>
              <w:t>Aktywny udział w zajęciach (według oceny prowadzącego) jest promowany możliwością podwyższenia stopnia końcowego.</w:t>
            </w:r>
          </w:p>
        </w:tc>
      </w:tr>
      <w:tr w:rsidR="00C26FB1" w:rsidRPr="00AD723E"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C26FB1" w:rsidRPr="00AD723E" w:rsidRDefault="00C26FB1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NAKŁAD PRACY STUDENTA</w:t>
            </w:r>
          </w:p>
          <w:p w:rsidR="00C26FB1" w:rsidRPr="00AD723E" w:rsidRDefault="00C26FB1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C26FB1" w:rsidRPr="00AD723E">
        <w:trPr>
          <w:trHeight w:val="263"/>
        </w:trPr>
        <w:tc>
          <w:tcPr>
            <w:tcW w:w="4723" w:type="dxa"/>
            <w:gridSpan w:val="4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3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color w:val="FF0000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 xml:space="preserve">Liczba godzin  </w:t>
            </w:r>
          </w:p>
        </w:tc>
      </w:tr>
      <w:tr w:rsidR="00C26FB1" w:rsidRPr="00AD723E">
        <w:trPr>
          <w:trHeight w:val="262"/>
        </w:trPr>
        <w:tc>
          <w:tcPr>
            <w:tcW w:w="4723" w:type="dxa"/>
            <w:gridSpan w:val="4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Udział w wykładach</w:t>
            </w:r>
          </w:p>
        </w:tc>
        <w:tc>
          <w:tcPr>
            <w:tcW w:w="5285" w:type="dxa"/>
            <w:gridSpan w:val="3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rPr>
          <w:trHeight w:val="262"/>
        </w:trPr>
        <w:tc>
          <w:tcPr>
            <w:tcW w:w="4723" w:type="dxa"/>
            <w:gridSpan w:val="4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Samodzielne studiowanie tematyki wykładów</w:t>
            </w:r>
          </w:p>
        </w:tc>
        <w:tc>
          <w:tcPr>
            <w:tcW w:w="5285" w:type="dxa"/>
            <w:gridSpan w:val="3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rPr>
          <w:trHeight w:val="262"/>
        </w:trPr>
        <w:tc>
          <w:tcPr>
            <w:tcW w:w="4723" w:type="dxa"/>
            <w:gridSpan w:val="4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Udział w ćwiczeniach audytoryjnych i laboratoryjnych</w:t>
            </w:r>
            <w:r w:rsidRPr="00AD723E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15</w:t>
            </w:r>
          </w:p>
        </w:tc>
      </w:tr>
      <w:tr w:rsidR="00C26FB1" w:rsidRPr="00AD723E">
        <w:trPr>
          <w:trHeight w:val="262"/>
        </w:trPr>
        <w:tc>
          <w:tcPr>
            <w:tcW w:w="4723" w:type="dxa"/>
            <w:gridSpan w:val="4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Samodzielne przygotowywanie się do ćwiczeń</w:t>
            </w:r>
            <w:r w:rsidRPr="00AD723E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8</w:t>
            </w:r>
          </w:p>
        </w:tc>
      </w:tr>
      <w:tr w:rsidR="00C26FB1" w:rsidRPr="00AD723E">
        <w:trPr>
          <w:trHeight w:val="262"/>
        </w:trPr>
        <w:tc>
          <w:tcPr>
            <w:tcW w:w="4723" w:type="dxa"/>
            <w:gridSpan w:val="4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Przygotowanie projektu / eseju / itp.</w:t>
            </w:r>
            <w:r w:rsidRPr="00AD723E">
              <w:rPr>
                <w:rFonts w:ascii="Cambria" w:hAnsi="Cambria" w:cs="Cambria"/>
                <w:sz w:val="22"/>
                <w:szCs w:val="22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3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rPr>
          <w:trHeight w:val="262"/>
        </w:trPr>
        <w:tc>
          <w:tcPr>
            <w:tcW w:w="4723" w:type="dxa"/>
            <w:gridSpan w:val="4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Przygotowanie się do egzaminu / zaliczenia</w:t>
            </w:r>
          </w:p>
        </w:tc>
        <w:tc>
          <w:tcPr>
            <w:tcW w:w="5285" w:type="dxa"/>
            <w:gridSpan w:val="3"/>
          </w:tcPr>
          <w:p w:rsidR="00C26FB1" w:rsidRPr="00AD723E" w:rsidRDefault="00C26FB1" w:rsidP="004E7B4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2</w:t>
            </w:r>
          </w:p>
        </w:tc>
      </w:tr>
      <w:tr w:rsidR="00C26FB1" w:rsidRPr="00AD723E">
        <w:trPr>
          <w:trHeight w:val="262"/>
        </w:trPr>
        <w:tc>
          <w:tcPr>
            <w:tcW w:w="4723" w:type="dxa"/>
            <w:gridSpan w:val="4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Udział w konsultacjach</w:t>
            </w:r>
          </w:p>
        </w:tc>
        <w:tc>
          <w:tcPr>
            <w:tcW w:w="5285" w:type="dxa"/>
            <w:gridSpan w:val="3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rPr>
          <w:trHeight w:val="262"/>
        </w:trPr>
        <w:tc>
          <w:tcPr>
            <w:tcW w:w="4723" w:type="dxa"/>
            <w:gridSpan w:val="4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Inne</w:t>
            </w:r>
          </w:p>
        </w:tc>
        <w:tc>
          <w:tcPr>
            <w:tcW w:w="5285" w:type="dxa"/>
            <w:gridSpan w:val="3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C26FB1" w:rsidRPr="00AD723E">
        <w:trPr>
          <w:trHeight w:val="262"/>
        </w:trPr>
        <w:tc>
          <w:tcPr>
            <w:tcW w:w="4723" w:type="dxa"/>
            <w:gridSpan w:val="4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ŁĄCZNY nakład pracy studenta w godz.</w:t>
            </w:r>
          </w:p>
        </w:tc>
        <w:tc>
          <w:tcPr>
            <w:tcW w:w="5285" w:type="dxa"/>
            <w:gridSpan w:val="3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25</w:t>
            </w:r>
          </w:p>
        </w:tc>
      </w:tr>
      <w:tr w:rsidR="00C26FB1" w:rsidRPr="00AD723E">
        <w:trPr>
          <w:trHeight w:val="417"/>
        </w:trPr>
        <w:tc>
          <w:tcPr>
            <w:tcW w:w="4723" w:type="dxa"/>
            <w:gridSpan w:val="4"/>
            <w:shd w:val="clear" w:color="auto" w:fill="C0C0C0"/>
          </w:tcPr>
          <w:p w:rsidR="00C26FB1" w:rsidRPr="00AD723E" w:rsidRDefault="00C26FB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b/>
                <w:bCs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gridSpan w:val="3"/>
            <w:shd w:val="clear" w:color="auto" w:fill="C0C0C0"/>
          </w:tcPr>
          <w:p w:rsidR="00C26FB1" w:rsidRPr="00AD723E" w:rsidRDefault="00C26FB1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1</w:t>
            </w:r>
          </w:p>
        </w:tc>
      </w:tr>
      <w:tr w:rsidR="00C26FB1" w:rsidRPr="00AD723E">
        <w:trPr>
          <w:trHeight w:val="262"/>
        </w:trPr>
        <w:tc>
          <w:tcPr>
            <w:tcW w:w="4723" w:type="dxa"/>
            <w:gridSpan w:val="4"/>
            <w:shd w:val="clear" w:color="auto" w:fill="C0C0C0"/>
          </w:tcPr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Liczba p. ECTS związana z zajęciami praktycznymi</w:t>
            </w:r>
            <w:r w:rsidRPr="00AD723E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  <w:p w:rsidR="00C26FB1" w:rsidRPr="00AD723E" w:rsidRDefault="00C26FB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3"/>
            <w:shd w:val="clear" w:color="auto" w:fill="C0C0C0"/>
          </w:tcPr>
          <w:p w:rsidR="00C26FB1" w:rsidRDefault="00C26FB1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(15+8=23)</w:t>
            </w:r>
          </w:p>
          <w:p w:rsidR="00C26FB1" w:rsidRPr="00AD723E" w:rsidRDefault="00C26FB1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0,9 ECTS</w:t>
            </w:r>
          </w:p>
        </w:tc>
      </w:tr>
      <w:tr w:rsidR="00C26FB1" w:rsidRPr="00AD723E">
        <w:trPr>
          <w:trHeight w:val="262"/>
        </w:trPr>
        <w:tc>
          <w:tcPr>
            <w:tcW w:w="4723" w:type="dxa"/>
            <w:gridSpan w:val="4"/>
            <w:tcBorders>
              <w:bottom w:val="single" w:sz="12" w:space="0" w:color="auto"/>
            </w:tcBorders>
            <w:shd w:val="clear" w:color="auto" w:fill="C0C0C0"/>
          </w:tcPr>
          <w:p w:rsidR="00C26FB1" w:rsidRPr="00AD723E" w:rsidRDefault="00C26FB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723E">
              <w:rPr>
                <w:rFonts w:ascii="Cambria" w:hAnsi="Cambria" w:cs="Cambria"/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C26FB1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(15+2=17)</w:t>
            </w:r>
          </w:p>
          <w:p w:rsidR="00C26FB1" w:rsidRPr="00AD723E" w:rsidRDefault="00C26FB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0,7 ECTS</w:t>
            </w:r>
          </w:p>
        </w:tc>
      </w:tr>
    </w:tbl>
    <w:p w:rsidR="00C26FB1" w:rsidRPr="00AD723E" w:rsidRDefault="00C26FB1" w:rsidP="004E7B41">
      <w:pPr>
        <w:rPr>
          <w:rFonts w:ascii="Cambria" w:hAnsi="Cambria" w:cs="Cambria"/>
          <w:sz w:val="22"/>
          <w:szCs w:val="22"/>
        </w:rPr>
      </w:pPr>
    </w:p>
    <w:sectPr w:rsidR="00C26FB1" w:rsidRPr="00AD723E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FB1" w:rsidRDefault="00C26FB1">
      <w:r>
        <w:separator/>
      </w:r>
    </w:p>
  </w:endnote>
  <w:endnote w:type="continuationSeparator" w:id="0">
    <w:p w:rsidR="00C26FB1" w:rsidRDefault="00C26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FB1" w:rsidRDefault="00C26F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6FB1" w:rsidRDefault="00C26F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FB1" w:rsidRDefault="00C26F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C26FB1" w:rsidRDefault="00C26FB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FB1" w:rsidRDefault="00C26FB1">
      <w:r>
        <w:separator/>
      </w:r>
    </w:p>
  </w:footnote>
  <w:footnote w:type="continuationSeparator" w:id="0">
    <w:p w:rsidR="00C26FB1" w:rsidRDefault="00C26F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40344ED0"/>
    <w:multiLevelType w:val="hybridMultilevel"/>
    <w:tmpl w:val="595EC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18">
    <w:nsid w:val="7CFD5281"/>
    <w:multiLevelType w:val="hybridMultilevel"/>
    <w:tmpl w:val="843421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57523DE2">
      <w:start w:val="6"/>
      <w:numFmt w:val="decimal"/>
      <w:lvlText w:val="%2."/>
      <w:lvlJc w:val="left"/>
      <w:pPr>
        <w:tabs>
          <w:tab w:val="num" w:pos="1789"/>
        </w:tabs>
        <w:ind w:left="1789" w:hanging="709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7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015B6"/>
    <w:rsid w:val="00001E23"/>
    <w:rsid w:val="00021395"/>
    <w:rsid w:val="000513CF"/>
    <w:rsid w:val="000B4C55"/>
    <w:rsid w:val="000C4B5E"/>
    <w:rsid w:val="000C53DF"/>
    <w:rsid w:val="000F46DF"/>
    <w:rsid w:val="00110206"/>
    <w:rsid w:val="00113540"/>
    <w:rsid w:val="00124E79"/>
    <w:rsid w:val="00131752"/>
    <w:rsid w:val="001D6CF2"/>
    <w:rsid w:val="00231E1E"/>
    <w:rsid w:val="002D2B56"/>
    <w:rsid w:val="002E2994"/>
    <w:rsid w:val="003E688C"/>
    <w:rsid w:val="00433D1C"/>
    <w:rsid w:val="00447177"/>
    <w:rsid w:val="0049796F"/>
    <w:rsid w:val="004A0436"/>
    <w:rsid w:val="004E3DD3"/>
    <w:rsid w:val="004E7B41"/>
    <w:rsid w:val="00517537"/>
    <w:rsid w:val="00521293"/>
    <w:rsid w:val="00554ED9"/>
    <w:rsid w:val="00561E05"/>
    <w:rsid w:val="0057195F"/>
    <w:rsid w:val="00584E2C"/>
    <w:rsid w:val="005A3A15"/>
    <w:rsid w:val="005B1048"/>
    <w:rsid w:val="005D06D0"/>
    <w:rsid w:val="00600974"/>
    <w:rsid w:val="00680501"/>
    <w:rsid w:val="006907F5"/>
    <w:rsid w:val="006C14E2"/>
    <w:rsid w:val="006C781A"/>
    <w:rsid w:val="00711325"/>
    <w:rsid w:val="00783EB9"/>
    <w:rsid w:val="007A0116"/>
    <w:rsid w:val="007F0A2C"/>
    <w:rsid w:val="00814A3D"/>
    <w:rsid w:val="0084720B"/>
    <w:rsid w:val="00885C37"/>
    <w:rsid w:val="00920A34"/>
    <w:rsid w:val="0094628A"/>
    <w:rsid w:val="00990EA2"/>
    <w:rsid w:val="009D79B8"/>
    <w:rsid w:val="009E4DEC"/>
    <w:rsid w:val="00A44201"/>
    <w:rsid w:val="00A83AC0"/>
    <w:rsid w:val="00AA7F55"/>
    <w:rsid w:val="00AD723E"/>
    <w:rsid w:val="00AE1657"/>
    <w:rsid w:val="00AF6AE6"/>
    <w:rsid w:val="00B04ECC"/>
    <w:rsid w:val="00B36A2F"/>
    <w:rsid w:val="00B703A1"/>
    <w:rsid w:val="00BA4F60"/>
    <w:rsid w:val="00BC796B"/>
    <w:rsid w:val="00C26FB1"/>
    <w:rsid w:val="00CC0449"/>
    <w:rsid w:val="00D2296E"/>
    <w:rsid w:val="00D34224"/>
    <w:rsid w:val="00E001D8"/>
    <w:rsid w:val="00E157B3"/>
    <w:rsid w:val="00E41D5F"/>
    <w:rsid w:val="00E66595"/>
    <w:rsid w:val="00E75855"/>
    <w:rsid w:val="00E9036E"/>
    <w:rsid w:val="00E9477A"/>
    <w:rsid w:val="00EE75D3"/>
    <w:rsid w:val="00F17227"/>
    <w:rsid w:val="00F24A41"/>
    <w:rsid w:val="00F54DA0"/>
    <w:rsid w:val="00FC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3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043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043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4A0436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0436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0436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A0436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75B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75B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75B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75B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75B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75B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4A0436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4A0436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B75BE"/>
    <w:rPr>
      <w:sz w:val="20"/>
      <w:szCs w:val="20"/>
    </w:rPr>
  </w:style>
  <w:style w:type="paragraph" w:styleId="NormalWeb">
    <w:name w:val="Normal (Web)"/>
    <w:basedOn w:val="Normal"/>
    <w:uiPriority w:val="99"/>
    <w:rsid w:val="004A0436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4A0436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B75BE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4A0436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B75BE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4A0436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2B75B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4A0436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4A043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75BE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4A0436"/>
  </w:style>
  <w:style w:type="paragraph" w:styleId="Footer">
    <w:name w:val="footer"/>
    <w:basedOn w:val="Normal"/>
    <w:link w:val="FooterChar"/>
    <w:uiPriority w:val="99"/>
    <w:rsid w:val="004A04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75BE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4A0436"/>
  </w:style>
  <w:style w:type="paragraph" w:styleId="Subtitle">
    <w:name w:val="Subtitle"/>
    <w:basedOn w:val="Normal"/>
    <w:link w:val="SubtitleChar"/>
    <w:uiPriority w:val="99"/>
    <w:qFormat/>
    <w:rsid w:val="004A0436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2B75BE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4A0436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4A04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1423</Words>
  <Characters>8544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2012-04-03T14:52:00Z</cp:lastPrinted>
  <dcterms:created xsi:type="dcterms:W3CDTF">2012-09-19T17:18:00Z</dcterms:created>
  <dcterms:modified xsi:type="dcterms:W3CDTF">2012-09-19T17:18:00Z</dcterms:modified>
</cp:coreProperties>
</file>